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3240"/>
        <w:gridCol w:w="3690"/>
        <w:gridCol w:w="720"/>
        <w:gridCol w:w="2358"/>
      </w:tblGrid>
      <w:tr w:rsidR="00604CF8" w14:paraId="0CF15A2A" w14:textId="77777777" w:rsidTr="00813F5D">
        <w:tc>
          <w:tcPr>
            <w:tcW w:w="1008" w:type="dxa"/>
            <w:tcBorders>
              <w:bottom w:val="single" w:sz="4" w:space="0" w:color="auto"/>
            </w:tcBorders>
            <w:shd w:val="clear" w:color="auto" w:fill="BFBFBF"/>
          </w:tcPr>
          <w:p w14:paraId="0FB819A5" w14:textId="77777777" w:rsidR="00604CF8" w:rsidRDefault="00604CF8">
            <w:pPr>
              <w:rPr>
                <w:b/>
                <w:color w:val="FFFFFF"/>
                <w:sz w:val="20"/>
                <w:szCs w:val="20"/>
              </w:rPr>
            </w:pPr>
          </w:p>
        </w:tc>
        <w:tc>
          <w:tcPr>
            <w:tcW w:w="3240" w:type="dxa"/>
            <w:tcBorders>
              <w:bottom w:val="single" w:sz="4" w:space="0" w:color="auto"/>
            </w:tcBorders>
            <w:shd w:val="clear" w:color="auto" w:fill="1F497D"/>
          </w:tcPr>
          <w:p w14:paraId="24BC94A0" w14:textId="77777777" w:rsidR="00604CF8" w:rsidRDefault="007F35C8">
            <w:pPr>
              <w:spacing w:before="240"/>
              <w:jc w:val="center"/>
              <w:rPr>
                <w:b/>
                <w:color w:val="FFFFFF"/>
                <w:sz w:val="20"/>
                <w:szCs w:val="20"/>
              </w:rPr>
            </w:pPr>
            <w:r>
              <w:rPr>
                <w:b/>
                <w:noProof/>
                <w:color w:val="FFFFFF"/>
                <w:sz w:val="20"/>
                <w:szCs w:val="20"/>
              </w:rPr>
              <w:drawing>
                <wp:inline distT="0" distB="0" distL="0" distR="0" wp14:anchorId="3EE7A330" wp14:editId="576C335D">
                  <wp:extent cx="1701800" cy="876300"/>
                  <wp:effectExtent l="0" t="0" r="0" b="0"/>
                  <wp:docPr id="1" name="Picture 3" descr="lb.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0" cy="876300"/>
                          </a:xfrm>
                          <a:prstGeom prst="rect">
                            <a:avLst/>
                          </a:prstGeom>
                        </pic:spPr>
                      </pic:pic>
                    </a:graphicData>
                  </a:graphic>
                </wp:inline>
              </w:drawing>
            </w:r>
          </w:p>
        </w:tc>
        <w:tc>
          <w:tcPr>
            <w:tcW w:w="6768" w:type="dxa"/>
            <w:gridSpan w:val="3"/>
            <w:tcBorders>
              <w:bottom w:val="single" w:sz="4" w:space="0" w:color="auto"/>
            </w:tcBorders>
            <w:shd w:val="clear" w:color="auto" w:fill="BFBFBF"/>
          </w:tcPr>
          <w:p w14:paraId="719E951D" w14:textId="77777777" w:rsidR="00604CF8" w:rsidRDefault="00604CF8">
            <w:pPr>
              <w:pStyle w:val="NoSpacing1"/>
              <w:jc w:val="right"/>
              <w:rPr>
                <w:b/>
                <w:sz w:val="20"/>
                <w:szCs w:val="20"/>
              </w:rPr>
            </w:pPr>
          </w:p>
          <w:p w14:paraId="6BCB7550" w14:textId="54F1ED69" w:rsidR="00604CF8" w:rsidRDefault="007F35C8">
            <w:pPr>
              <w:pStyle w:val="NoSpacing1"/>
              <w:jc w:val="right"/>
              <w:rPr>
                <w:b/>
                <w:sz w:val="20"/>
                <w:szCs w:val="20"/>
              </w:rPr>
            </w:pPr>
            <w:r>
              <w:rPr>
                <w:b/>
                <w:sz w:val="20"/>
                <w:szCs w:val="20"/>
              </w:rPr>
              <w:t>125 W</w:t>
            </w:r>
            <w:r w:rsidR="00AB61CF">
              <w:rPr>
                <w:b/>
                <w:sz w:val="20"/>
                <w:szCs w:val="20"/>
              </w:rPr>
              <w:t>est</w:t>
            </w:r>
            <w:r>
              <w:rPr>
                <w:b/>
                <w:sz w:val="20"/>
                <w:szCs w:val="20"/>
              </w:rPr>
              <w:t xml:space="preserve"> 34</w:t>
            </w:r>
            <w:r>
              <w:rPr>
                <w:b/>
                <w:sz w:val="20"/>
                <w:szCs w:val="20"/>
                <w:vertAlign w:val="superscript"/>
              </w:rPr>
              <w:t>th</w:t>
            </w:r>
            <w:r>
              <w:rPr>
                <w:b/>
                <w:sz w:val="20"/>
                <w:szCs w:val="20"/>
              </w:rPr>
              <w:t xml:space="preserve"> St</w:t>
            </w:r>
          </w:p>
          <w:p w14:paraId="776080F6" w14:textId="77777777" w:rsidR="00604CF8" w:rsidRDefault="007F35C8">
            <w:pPr>
              <w:pStyle w:val="NoSpacing1"/>
              <w:jc w:val="right"/>
              <w:rPr>
                <w:b/>
                <w:sz w:val="20"/>
                <w:szCs w:val="20"/>
              </w:rPr>
            </w:pPr>
            <w:r>
              <w:rPr>
                <w:b/>
                <w:sz w:val="20"/>
                <w:szCs w:val="20"/>
              </w:rPr>
              <w:t xml:space="preserve"> Covington, KY 41015 </w:t>
            </w:r>
          </w:p>
          <w:p w14:paraId="4C4043CB" w14:textId="77777777" w:rsidR="00604CF8" w:rsidRDefault="007F35C8">
            <w:pPr>
              <w:pStyle w:val="NoSpacing1"/>
              <w:jc w:val="right"/>
              <w:rPr>
                <w:b/>
                <w:sz w:val="20"/>
                <w:szCs w:val="20"/>
              </w:rPr>
            </w:pPr>
            <w:r>
              <w:rPr>
                <w:b/>
                <w:sz w:val="20"/>
                <w:szCs w:val="20"/>
              </w:rPr>
              <w:t xml:space="preserve">U.S.A.  </w:t>
            </w:r>
          </w:p>
          <w:p w14:paraId="5875A846" w14:textId="77777777" w:rsidR="00604CF8" w:rsidRDefault="007F35C8">
            <w:pPr>
              <w:pStyle w:val="NoSpacing1"/>
              <w:jc w:val="right"/>
              <w:rPr>
                <w:b/>
                <w:sz w:val="20"/>
                <w:szCs w:val="20"/>
              </w:rPr>
            </w:pPr>
            <w:r>
              <w:rPr>
                <w:b/>
                <w:sz w:val="20"/>
                <w:szCs w:val="20"/>
              </w:rPr>
              <w:t xml:space="preserve">Toll Free 855.LBD.CALL (523.2255) </w:t>
            </w:r>
          </w:p>
          <w:p w14:paraId="34C563FD" w14:textId="77777777" w:rsidR="00604CF8" w:rsidRDefault="007F35C8">
            <w:pPr>
              <w:pStyle w:val="NoSpacing1"/>
              <w:jc w:val="right"/>
              <w:rPr>
                <w:b/>
                <w:sz w:val="20"/>
                <w:szCs w:val="20"/>
              </w:rPr>
            </w:pPr>
            <w:r>
              <w:rPr>
                <w:b/>
                <w:sz w:val="20"/>
                <w:szCs w:val="20"/>
              </w:rPr>
              <w:t>Fax 859.554.2530</w:t>
            </w:r>
          </w:p>
          <w:p w14:paraId="1399C398" w14:textId="4840EFD9" w:rsidR="00604CF8" w:rsidRDefault="00D26860">
            <w:pPr>
              <w:jc w:val="right"/>
              <w:rPr>
                <w:b/>
                <w:color w:val="1F497D"/>
                <w:sz w:val="20"/>
                <w:szCs w:val="20"/>
              </w:rPr>
            </w:pPr>
            <w:hyperlink r:id="rId9" w:history="1">
              <w:r w:rsidR="00AB61CF" w:rsidRPr="002C52EB">
                <w:rPr>
                  <w:rStyle w:val="Hyperlink"/>
                  <w:b/>
                  <w:sz w:val="20"/>
                  <w:szCs w:val="20"/>
                </w:rPr>
                <w:t>www.LoadBanksDirect.com</w:t>
              </w:r>
            </w:hyperlink>
          </w:p>
        </w:tc>
      </w:tr>
      <w:tr w:rsidR="00604CF8" w14:paraId="4380D947" w14:textId="77777777" w:rsidTr="00813F5D">
        <w:trPr>
          <w:trHeight w:val="60"/>
        </w:trPr>
        <w:tc>
          <w:tcPr>
            <w:tcW w:w="11016" w:type="dxa"/>
            <w:gridSpan w:val="5"/>
            <w:tcBorders>
              <w:left w:val="nil"/>
              <w:right w:val="nil"/>
            </w:tcBorders>
            <w:shd w:val="clear" w:color="auto" w:fill="FFFFFF"/>
          </w:tcPr>
          <w:p w14:paraId="221CBCB9" w14:textId="77777777" w:rsidR="00604CF8" w:rsidRDefault="00604CF8">
            <w:pPr>
              <w:pStyle w:val="NoSpacing1"/>
              <w:jc w:val="right"/>
              <w:rPr>
                <w:b/>
                <w:sz w:val="4"/>
                <w:szCs w:val="4"/>
              </w:rPr>
            </w:pPr>
          </w:p>
        </w:tc>
      </w:tr>
      <w:tr w:rsidR="00604CF8" w14:paraId="5EE00330" w14:textId="77777777" w:rsidTr="00813F5D">
        <w:tc>
          <w:tcPr>
            <w:tcW w:w="1008" w:type="dxa"/>
            <w:shd w:val="clear" w:color="auto" w:fill="1F497D"/>
          </w:tcPr>
          <w:p w14:paraId="411C4AFD" w14:textId="77777777" w:rsidR="00604CF8" w:rsidRDefault="00604CF8" w:rsidP="00AB61CF">
            <w:pPr>
              <w:spacing w:after="0"/>
              <w:rPr>
                <w:b/>
                <w:color w:val="FFFFFF"/>
                <w:sz w:val="20"/>
                <w:szCs w:val="20"/>
              </w:rPr>
            </w:pPr>
          </w:p>
        </w:tc>
        <w:tc>
          <w:tcPr>
            <w:tcW w:w="6930" w:type="dxa"/>
            <w:gridSpan w:val="2"/>
            <w:shd w:val="clear" w:color="auto" w:fill="1F497D"/>
          </w:tcPr>
          <w:p w14:paraId="7575AFB6" w14:textId="788FD348" w:rsidR="00604CF8" w:rsidRDefault="00813F5D" w:rsidP="00AB61CF">
            <w:pPr>
              <w:spacing w:after="0"/>
              <w:rPr>
                <w:b/>
                <w:color w:val="FFFFFF"/>
                <w:sz w:val="20"/>
                <w:szCs w:val="20"/>
              </w:rPr>
            </w:pPr>
            <w:r>
              <w:rPr>
                <w:b/>
                <w:color w:val="FFFFFF"/>
                <w:sz w:val="20"/>
                <w:szCs w:val="20"/>
              </w:rPr>
              <w:t xml:space="preserve">Submittals PO# </w:t>
            </w:r>
            <w:r w:rsidR="008D58C1">
              <w:rPr>
                <w:b/>
                <w:color w:val="FFFFFF"/>
                <w:sz w:val="20"/>
                <w:szCs w:val="20"/>
              </w:rPr>
              <w:t>532394-0</w:t>
            </w:r>
          </w:p>
        </w:tc>
        <w:tc>
          <w:tcPr>
            <w:tcW w:w="720" w:type="dxa"/>
            <w:tcBorders>
              <w:bottom w:val="single" w:sz="8" w:space="0" w:color="auto"/>
              <w:right w:val="nil"/>
            </w:tcBorders>
            <w:shd w:val="clear" w:color="auto" w:fill="1F497D"/>
          </w:tcPr>
          <w:p w14:paraId="3EE2D739" w14:textId="77777777" w:rsidR="00604CF8" w:rsidRDefault="007F35C8" w:rsidP="00AB61CF">
            <w:pPr>
              <w:spacing w:after="0"/>
              <w:rPr>
                <w:b/>
                <w:color w:val="FFFFFF"/>
                <w:sz w:val="20"/>
                <w:szCs w:val="20"/>
              </w:rPr>
            </w:pPr>
            <w:r>
              <w:rPr>
                <w:b/>
                <w:color w:val="FFFFFF"/>
                <w:sz w:val="20"/>
                <w:szCs w:val="20"/>
              </w:rPr>
              <w:t>Date:</w:t>
            </w:r>
          </w:p>
        </w:tc>
        <w:tc>
          <w:tcPr>
            <w:tcW w:w="2358" w:type="dxa"/>
            <w:tcBorders>
              <w:left w:val="nil"/>
              <w:bottom w:val="single" w:sz="8" w:space="0" w:color="auto"/>
            </w:tcBorders>
            <w:shd w:val="clear" w:color="auto" w:fill="1F497D"/>
          </w:tcPr>
          <w:p w14:paraId="1F677429" w14:textId="0D05395D" w:rsidR="00604CF8" w:rsidRDefault="008D58C1" w:rsidP="00AB61CF">
            <w:pPr>
              <w:spacing w:after="0"/>
              <w:rPr>
                <w:b/>
                <w:color w:val="FFFFFF"/>
                <w:sz w:val="20"/>
                <w:szCs w:val="20"/>
              </w:rPr>
            </w:pPr>
            <w:r>
              <w:rPr>
                <w:b/>
                <w:color w:val="FFFFFF"/>
                <w:sz w:val="20"/>
                <w:szCs w:val="20"/>
              </w:rPr>
              <w:t>8</w:t>
            </w:r>
            <w:r w:rsidR="007F35C8">
              <w:rPr>
                <w:b/>
                <w:color w:val="FFFFFF"/>
                <w:sz w:val="20"/>
                <w:szCs w:val="20"/>
              </w:rPr>
              <w:t>/</w:t>
            </w:r>
            <w:r w:rsidR="00813F5D">
              <w:rPr>
                <w:b/>
                <w:color w:val="FFFFFF"/>
                <w:sz w:val="20"/>
                <w:szCs w:val="20"/>
              </w:rPr>
              <w:t>5</w:t>
            </w:r>
            <w:r w:rsidR="007F35C8">
              <w:rPr>
                <w:b/>
                <w:color w:val="FFFFFF"/>
                <w:sz w:val="20"/>
                <w:szCs w:val="20"/>
              </w:rPr>
              <w:t>/2019</w:t>
            </w:r>
          </w:p>
        </w:tc>
      </w:tr>
    </w:tbl>
    <w:p w14:paraId="6CC21CB3" w14:textId="77777777" w:rsidR="00604CF8" w:rsidRDefault="00604CF8">
      <w:pPr>
        <w:pStyle w:val="NoSpacing1"/>
        <w:jc w:val="both"/>
        <w:rPr>
          <w:rFonts w:cs="Calibri"/>
          <w:sz w:val="20"/>
          <w:szCs w:val="20"/>
        </w:rPr>
      </w:pPr>
    </w:p>
    <w:p w14:paraId="0CEAA2DC" w14:textId="014A3E69" w:rsidR="00813F5D" w:rsidRDefault="00813F5D" w:rsidP="00981FD4">
      <w:pPr>
        <w:jc w:val="center"/>
        <w:rPr>
          <w:rFonts w:cs="Calibri"/>
          <w:b/>
          <w:sz w:val="20"/>
          <w:szCs w:val="20"/>
          <w:u w:val="single"/>
        </w:rPr>
      </w:pPr>
      <w:r>
        <w:rPr>
          <w:b/>
          <w:bCs/>
          <w:sz w:val="20"/>
          <w:szCs w:val="20"/>
        </w:rPr>
        <w:t xml:space="preserve">The following Technical Proposal is prepared for H.O. Penn, located in Holtsville, NY 10465 and is for a Freestanding Stationary Load Bank for the LGA Delta project. Reference PO#: </w:t>
      </w:r>
      <w:r w:rsidR="008D58C1">
        <w:rPr>
          <w:b/>
          <w:bCs/>
          <w:sz w:val="20"/>
          <w:szCs w:val="20"/>
        </w:rPr>
        <w:t>532394-0</w:t>
      </w:r>
    </w:p>
    <w:p w14:paraId="030BDDC8" w14:textId="13B11E78" w:rsidR="00813F5D" w:rsidRDefault="00813F5D">
      <w:pPr>
        <w:jc w:val="both"/>
        <w:rPr>
          <w:rFonts w:cs="Calibri"/>
          <w:b/>
          <w:sz w:val="20"/>
          <w:szCs w:val="20"/>
          <w:u w:val="single"/>
        </w:rPr>
      </w:pPr>
    </w:p>
    <w:p w14:paraId="6DD3F423" w14:textId="35B5C2FB" w:rsidR="00604CF8" w:rsidRDefault="007F35C8">
      <w:pPr>
        <w:jc w:val="both"/>
        <w:rPr>
          <w:rFonts w:cs="Calibri"/>
          <w:b/>
          <w:sz w:val="20"/>
          <w:szCs w:val="20"/>
          <w:u w:val="single"/>
        </w:rPr>
      </w:pPr>
      <w:r>
        <w:rPr>
          <w:rFonts w:cs="Calibri"/>
          <w:b/>
          <w:sz w:val="20"/>
          <w:szCs w:val="20"/>
          <w:u w:val="single"/>
        </w:rPr>
        <w:t>Model LS</w:t>
      </w:r>
      <w:r w:rsidR="00AB61CF">
        <w:rPr>
          <w:rFonts w:cs="Calibri"/>
          <w:b/>
          <w:sz w:val="20"/>
          <w:szCs w:val="20"/>
          <w:u w:val="single"/>
        </w:rPr>
        <w:t>35</w:t>
      </w:r>
      <w:r>
        <w:rPr>
          <w:rFonts w:cs="Calibri"/>
          <w:b/>
          <w:sz w:val="20"/>
          <w:szCs w:val="20"/>
          <w:u w:val="single"/>
        </w:rPr>
        <w:t>0-</w:t>
      </w:r>
      <w:r w:rsidR="008D58C1">
        <w:rPr>
          <w:rFonts w:cs="Calibri"/>
          <w:b/>
          <w:sz w:val="20"/>
          <w:szCs w:val="20"/>
          <w:u w:val="single"/>
        </w:rPr>
        <w:t>480</w:t>
      </w:r>
      <w:r>
        <w:rPr>
          <w:rFonts w:cs="Calibri"/>
          <w:b/>
          <w:sz w:val="20"/>
          <w:szCs w:val="20"/>
          <w:u w:val="single"/>
        </w:rPr>
        <w:t>-2</w:t>
      </w:r>
      <w:r w:rsidR="008D58C1">
        <w:rPr>
          <w:rFonts w:cs="Calibri"/>
          <w:b/>
          <w:sz w:val="20"/>
          <w:szCs w:val="20"/>
          <w:u w:val="single"/>
        </w:rPr>
        <w:t>5</w:t>
      </w:r>
      <w:r>
        <w:rPr>
          <w:b/>
          <w:spacing w:val="-2"/>
          <w:sz w:val="20"/>
          <w:szCs w:val="20"/>
          <w:u w:val="single"/>
        </w:rPr>
        <w:t xml:space="preserve">, </w:t>
      </w:r>
      <w:r w:rsidR="00AB61CF">
        <w:rPr>
          <w:b/>
          <w:spacing w:val="-2"/>
          <w:sz w:val="20"/>
          <w:szCs w:val="20"/>
          <w:u w:val="single"/>
        </w:rPr>
        <w:t>35</w:t>
      </w:r>
      <w:r>
        <w:rPr>
          <w:b/>
          <w:spacing w:val="-2"/>
          <w:sz w:val="20"/>
          <w:szCs w:val="20"/>
          <w:u w:val="single"/>
        </w:rPr>
        <w:t xml:space="preserve">0 Kilowatt </w:t>
      </w:r>
      <w:r>
        <w:rPr>
          <w:rFonts w:cs="Calibri"/>
          <w:b/>
          <w:sz w:val="20"/>
          <w:szCs w:val="20"/>
          <w:u w:val="single"/>
        </w:rPr>
        <w:t>Stationary, UL (cUL) Listed Outdoor Resistive Load Bank with the following ratings:</w:t>
      </w:r>
    </w:p>
    <w:p w14:paraId="7749DF51" w14:textId="008248DE" w:rsidR="00604CF8" w:rsidRDefault="00AB61CF">
      <w:pPr>
        <w:pStyle w:val="ListParagraph"/>
        <w:numPr>
          <w:ilvl w:val="0"/>
          <w:numId w:val="11"/>
        </w:numPr>
        <w:jc w:val="both"/>
        <w:rPr>
          <w:rFonts w:cs="Calibri"/>
          <w:b/>
          <w:sz w:val="20"/>
          <w:szCs w:val="20"/>
        </w:rPr>
      </w:pPr>
      <w:r>
        <w:rPr>
          <w:b/>
          <w:spacing w:val="-2"/>
          <w:sz w:val="20"/>
          <w:szCs w:val="20"/>
        </w:rPr>
        <w:t>35</w:t>
      </w:r>
      <w:r w:rsidR="007F35C8">
        <w:rPr>
          <w:b/>
          <w:spacing w:val="-2"/>
          <w:sz w:val="20"/>
          <w:szCs w:val="20"/>
        </w:rPr>
        <w:t>0</w:t>
      </w:r>
      <w:r w:rsidR="007F35C8">
        <w:rPr>
          <w:rFonts w:cs="Calibri"/>
          <w:b/>
          <w:sz w:val="20"/>
          <w:szCs w:val="20"/>
        </w:rPr>
        <w:t xml:space="preserve"> KW at </w:t>
      </w:r>
      <w:r w:rsidR="008D58C1">
        <w:rPr>
          <w:b/>
          <w:spacing w:val="-2"/>
          <w:sz w:val="20"/>
          <w:szCs w:val="20"/>
        </w:rPr>
        <w:t>480</w:t>
      </w:r>
      <w:r w:rsidR="007F35C8">
        <w:rPr>
          <w:b/>
          <w:spacing w:val="-2"/>
          <w:sz w:val="20"/>
          <w:szCs w:val="20"/>
        </w:rPr>
        <w:t xml:space="preserve"> </w:t>
      </w:r>
      <w:r w:rsidR="007F35C8">
        <w:rPr>
          <w:rFonts w:cs="Calibri"/>
          <w:b/>
          <w:sz w:val="20"/>
          <w:szCs w:val="20"/>
        </w:rPr>
        <w:t xml:space="preserve">Volts AC, 3-phase, 60 Hertz, </w:t>
      </w:r>
      <w:r w:rsidR="008D58C1">
        <w:rPr>
          <w:rFonts w:cs="Calibri"/>
          <w:b/>
          <w:sz w:val="20"/>
          <w:szCs w:val="20"/>
        </w:rPr>
        <w:t>421</w:t>
      </w:r>
      <w:r w:rsidR="007F35C8">
        <w:rPr>
          <w:b/>
          <w:spacing w:val="-2"/>
          <w:sz w:val="20"/>
          <w:szCs w:val="20"/>
        </w:rPr>
        <w:t xml:space="preserve"> </w:t>
      </w:r>
      <w:r w:rsidR="007F35C8">
        <w:rPr>
          <w:rFonts w:cs="Calibri"/>
          <w:b/>
          <w:sz w:val="20"/>
          <w:szCs w:val="20"/>
        </w:rPr>
        <w:t>Amps per Phase</w:t>
      </w:r>
    </w:p>
    <w:p w14:paraId="68092953" w14:textId="1C96CB53" w:rsidR="00604CF8" w:rsidRDefault="007F35C8">
      <w:pPr>
        <w:pStyle w:val="ListParagraph"/>
        <w:numPr>
          <w:ilvl w:val="0"/>
          <w:numId w:val="11"/>
        </w:numPr>
        <w:jc w:val="both"/>
        <w:rPr>
          <w:rFonts w:cs="Calibri"/>
          <w:b/>
          <w:sz w:val="20"/>
          <w:szCs w:val="20"/>
        </w:rPr>
      </w:pPr>
      <w:r>
        <w:rPr>
          <w:b/>
          <w:spacing w:val="-2"/>
          <w:sz w:val="20"/>
          <w:szCs w:val="20"/>
        </w:rPr>
        <w:t>2</w:t>
      </w:r>
      <w:r w:rsidR="008D58C1">
        <w:rPr>
          <w:b/>
          <w:spacing w:val="-2"/>
          <w:sz w:val="20"/>
          <w:szCs w:val="20"/>
        </w:rPr>
        <w:t>5</w:t>
      </w:r>
      <w:r>
        <w:rPr>
          <w:rFonts w:cs="Calibri"/>
          <w:b/>
          <w:sz w:val="20"/>
          <w:szCs w:val="20"/>
        </w:rPr>
        <w:t xml:space="preserve"> KW minimum load step resolution provided</w:t>
      </w:r>
    </w:p>
    <w:p w14:paraId="42833B94" w14:textId="77777777" w:rsidR="00604CF8" w:rsidRDefault="007F35C8">
      <w:pPr>
        <w:jc w:val="both"/>
        <w:rPr>
          <w:rFonts w:cs="Calibri"/>
          <w:sz w:val="20"/>
          <w:szCs w:val="20"/>
        </w:rPr>
      </w:pPr>
      <w:r>
        <w:rPr>
          <w:rFonts w:cs="Calibri"/>
          <w:b/>
          <w:sz w:val="20"/>
          <w:szCs w:val="20"/>
        </w:rPr>
        <w:t>Duty Cycle:</w:t>
      </w:r>
      <w:r>
        <w:rPr>
          <w:rFonts w:cs="Calibri"/>
          <w:sz w:val="20"/>
          <w:szCs w:val="20"/>
        </w:rPr>
        <w:t xml:space="preserve">  Forced Air-Cooled, rated for </w:t>
      </w:r>
      <w:r>
        <w:rPr>
          <w:rFonts w:cs="Calibri"/>
          <w:sz w:val="20"/>
          <w:szCs w:val="20"/>
          <w:u w:val="single"/>
        </w:rPr>
        <w:t>continuous</w:t>
      </w:r>
      <w:r>
        <w:rPr>
          <w:rFonts w:cs="Calibri"/>
          <w:sz w:val="20"/>
          <w:szCs w:val="20"/>
        </w:rPr>
        <w:t xml:space="preserve"> operation.</w:t>
      </w:r>
    </w:p>
    <w:p w14:paraId="3F918238" w14:textId="2770DA96" w:rsidR="00604CF8" w:rsidRDefault="007F35C8">
      <w:pPr>
        <w:jc w:val="both"/>
        <w:rPr>
          <w:rFonts w:cs="Calibri"/>
          <w:sz w:val="20"/>
          <w:szCs w:val="20"/>
        </w:rPr>
      </w:pPr>
      <w:r>
        <w:rPr>
          <w:rFonts w:cs="Calibri"/>
          <w:b/>
          <w:sz w:val="20"/>
          <w:szCs w:val="20"/>
        </w:rPr>
        <w:t>Cooling System:</w:t>
      </w:r>
      <w:r>
        <w:rPr>
          <w:rFonts w:cs="Calibri"/>
          <w:sz w:val="20"/>
          <w:szCs w:val="20"/>
        </w:rPr>
        <w:t xml:space="preserve">  Integrally mounted blower motor with high-performance, direct-driven fan blade delivers the required airflow volume (CFM) for cooling resistor load elements.  Motor is rated </w:t>
      </w:r>
      <w:r>
        <w:rPr>
          <w:spacing w:val="-2"/>
          <w:sz w:val="20"/>
          <w:szCs w:val="20"/>
        </w:rPr>
        <w:t>5</w:t>
      </w:r>
      <w:r>
        <w:rPr>
          <w:rFonts w:cs="Calibri"/>
          <w:sz w:val="20"/>
          <w:szCs w:val="20"/>
        </w:rPr>
        <w:t xml:space="preserve"> HP at </w:t>
      </w:r>
      <w:r w:rsidR="008D58C1">
        <w:rPr>
          <w:spacing w:val="-2"/>
          <w:sz w:val="20"/>
          <w:szCs w:val="20"/>
        </w:rPr>
        <w:t>460</w:t>
      </w:r>
      <w:bookmarkStart w:id="0" w:name="_GoBack"/>
      <w:bookmarkEnd w:id="0"/>
      <w:r>
        <w:rPr>
          <w:spacing w:val="-2"/>
          <w:sz w:val="20"/>
          <w:szCs w:val="20"/>
        </w:rPr>
        <w:t xml:space="preserve"> </w:t>
      </w:r>
      <w:r>
        <w:rPr>
          <w:rFonts w:cs="Calibri"/>
          <w:sz w:val="20"/>
          <w:szCs w:val="20"/>
        </w:rPr>
        <w:t>Volts AC, 3-phase, 60 Hertz.  Blower motor can be powered from an external 3-phase supply source, or internally from the main input load bus (source under test).</w:t>
      </w:r>
    </w:p>
    <w:p w14:paraId="4C3D75EF" w14:textId="77777777" w:rsidR="00604CF8" w:rsidRDefault="007F35C8">
      <w:pPr>
        <w:jc w:val="both"/>
        <w:rPr>
          <w:rFonts w:cs="Calibri"/>
          <w:sz w:val="20"/>
          <w:szCs w:val="20"/>
        </w:rPr>
      </w:pPr>
      <w:r w:rsidRPr="00AB61CF">
        <w:rPr>
          <w:rFonts w:cs="Calibri"/>
          <w:b/>
          <w:sz w:val="20"/>
          <w:szCs w:val="20"/>
        </w:rPr>
        <w:t>Control Power</w:t>
      </w:r>
      <w:r>
        <w:rPr>
          <w:rFonts w:cs="Calibri"/>
          <w:sz w:val="20"/>
          <w:szCs w:val="20"/>
        </w:rPr>
        <w:t>:  External 120 Volt AC, 1-phase, 60 Hertz, 10 Amp source.</w:t>
      </w:r>
    </w:p>
    <w:p w14:paraId="6CE238A0" w14:textId="77777777" w:rsidR="00604CF8" w:rsidRDefault="007F35C8">
      <w:pPr>
        <w:jc w:val="both"/>
        <w:rPr>
          <w:rFonts w:cs="Calibri"/>
          <w:i/>
          <w:sz w:val="20"/>
          <w:szCs w:val="20"/>
        </w:rPr>
      </w:pPr>
      <w:r>
        <w:rPr>
          <w:rFonts w:cs="Calibri"/>
          <w:b/>
          <w:sz w:val="20"/>
          <w:szCs w:val="20"/>
          <w:u w:val="single"/>
        </w:rPr>
        <w:t>Remote Operator Control Panel Including</w:t>
      </w:r>
      <w:r>
        <w:rPr>
          <w:rFonts w:cs="Calibri"/>
          <w:b/>
          <w:sz w:val="20"/>
          <w:szCs w:val="20"/>
        </w:rPr>
        <w:t>:</w:t>
      </w:r>
      <w:r>
        <w:rPr>
          <w:rFonts w:cs="Calibri"/>
          <w:sz w:val="20"/>
          <w:szCs w:val="20"/>
        </w:rPr>
        <w:t xml:space="preserve">  Emergency Stop (E-STOP) push button, Main Power On/Off switch, Blower Start/Stop push buttons, Master Load On/Off switch, and Individual Load Step switches (KW On/Off) provided for each load step.  </w:t>
      </w:r>
      <w:r>
        <w:rPr>
          <w:rFonts w:cs="Calibri"/>
          <w:i/>
          <w:sz w:val="20"/>
          <w:szCs w:val="20"/>
        </w:rPr>
        <w:t>Illuminated indicators provided for Power On, Blower On, Motor Overload, Air-Flow Failure, Over-Temperature, and Load Dump.</w:t>
      </w:r>
    </w:p>
    <w:p w14:paraId="3DA3340F" w14:textId="77777777" w:rsidR="00604CF8" w:rsidRDefault="007F35C8">
      <w:pPr>
        <w:jc w:val="both"/>
        <w:rPr>
          <w:rFonts w:cs="Calibri"/>
          <w:sz w:val="20"/>
          <w:szCs w:val="20"/>
        </w:rPr>
      </w:pPr>
      <w:r>
        <w:rPr>
          <w:rFonts w:cs="Calibri"/>
          <w:b/>
          <w:sz w:val="20"/>
          <w:szCs w:val="20"/>
        </w:rPr>
        <w:t xml:space="preserve">Automatic Load Dump </w:t>
      </w:r>
      <w:r>
        <w:rPr>
          <w:rFonts w:cs="Calibri"/>
          <w:sz w:val="20"/>
          <w:szCs w:val="20"/>
        </w:rPr>
        <w:t>circuit provides user interface provisions to the generator controls, automatic transfer switch, or building management system, to disconnect and disable all load steps from a normally closed (NC) set of auxiliary contacts.  In the event of an actual power failure, all load bank load is removed from the source under test.</w:t>
      </w:r>
    </w:p>
    <w:p w14:paraId="3910E683" w14:textId="77777777" w:rsidR="00604CF8" w:rsidRDefault="007F35C8">
      <w:pPr>
        <w:jc w:val="both"/>
        <w:rPr>
          <w:rFonts w:cs="Calibri"/>
          <w:sz w:val="20"/>
          <w:szCs w:val="20"/>
        </w:rPr>
      </w:pPr>
      <w:r>
        <w:rPr>
          <w:rFonts w:cs="Calibri"/>
          <w:b/>
          <w:sz w:val="20"/>
          <w:szCs w:val="20"/>
        </w:rPr>
        <w:t>Remote Indication and Alarm</w:t>
      </w:r>
      <w:r>
        <w:rPr>
          <w:rFonts w:cs="Calibri"/>
          <w:sz w:val="20"/>
          <w:szCs w:val="20"/>
        </w:rPr>
        <w:t xml:space="preserve"> contact closure [form-c-type normally open and normally closed] provides user interface to building management system for indication, detection, and alarm of “Air-Flow Failure”, “Over-Temperature”, and “Load Dump”.  </w:t>
      </w:r>
    </w:p>
    <w:p w14:paraId="5867F8DE" w14:textId="77777777" w:rsidR="00604CF8" w:rsidRDefault="007F35C8">
      <w:pPr>
        <w:tabs>
          <w:tab w:val="left" w:pos="-1440"/>
          <w:tab w:val="left" w:pos="10080"/>
        </w:tabs>
        <w:suppressAutoHyphens/>
        <w:jc w:val="both"/>
        <w:rPr>
          <w:rFonts w:cs="Calibri"/>
          <w:b/>
          <w:spacing w:val="-2"/>
          <w:sz w:val="20"/>
          <w:szCs w:val="20"/>
          <w:u w:val="single"/>
        </w:rPr>
      </w:pPr>
      <w:r>
        <w:rPr>
          <w:rFonts w:cs="Calibri"/>
          <w:b/>
          <w:spacing w:val="-2"/>
          <w:sz w:val="20"/>
          <w:szCs w:val="20"/>
          <w:u w:val="single"/>
        </w:rPr>
        <w:t xml:space="preserve">Operator Protection and Safety Features: </w:t>
      </w:r>
    </w:p>
    <w:p w14:paraId="27C34F37" w14:textId="77777777" w:rsidR="00604CF8" w:rsidRDefault="007F35C8">
      <w:pPr>
        <w:numPr>
          <w:ilvl w:val="0"/>
          <w:numId w:val="5"/>
        </w:numPr>
        <w:spacing w:after="0"/>
        <w:rPr>
          <w:sz w:val="20"/>
          <w:szCs w:val="20"/>
        </w:rPr>
      </w:pPr>
      <w:r>
        <w:rPr>
          <w:sz w:val="20"/>
          <w:szCs w:val="20"/>
        </w:rPr>
        <w:t xml:space="preserve">A Control Power Emergency-Stop (E-STOP) push button is provided to disable control power voltage to all operator control power circuits, including blower circuit and load application circuits.   </w:t>
      </w:r>
    </w:p>
    <w:p w14:paraId="0AC2C068" w14:textId="77777777" w:rsidR="00604CF8" w:rsidRDefault="007F35C8">
      <w:pPr>
        <w:numPr>
          <w:ilvl w:val="0"/>
          <w:numId w:val="5"/>
        </w:numPr>
        <w:spacing w:after="0"/>
        <w:rPr>
          <w:sz w:val="20"/>
          <w:szCs w:val="20"/>
        </w:rPr>
      </w:pPr>
      <w:r>
        <w:rPr>
          <w:sz w:val="20"/>
          <w:szCs w:val="20"/>
        </w:rPr>
        <w:t>Operator control panel provides detection and display of Main Power On, Blower Motor On, Motor Overload, Air-Flow Failure, Over-Temperature, and Load Dump.</w:t>
      </w:r>
    </w:p>
    <w:p w14:paraId="6C5C1DEF" w14:textId="77777777" w:rsidR="00604CF8" w:rsidRDefault="007F35C8">
      <w:pPr>
        <w:numPr>
          <w:ilvl w:val="0"/>
          <w:numId w:val="5"/>
        </w:numPr>
        <w:spacing w:after="0"/>
        <w:rPr>
          <w:sz w:val="20"/>
          <w:szCs w:val="20"/>
        </w:rPr>
      </w:pPr>
      <w:r>
        <w:rPr>
          <w:sz w:val="20"/>
          <w:szCs w:val="20"/>
        </w:rPr>
        <w:t>Branch circuit fuse protection provides short-circuit fault protection of all load steps. Fuses are fast-acting, current-limiting type with an interrupting rating of 200K A.I.C.</w:t>
      </w:r>
    </w:p>
    <w:p w14:paraId="24F556F5" w14:textId="77777777" w:rsidR="00604CF8" w:rsidRDefault="007F35C8">
      <w:pPr>
        <w:numPr>
          <w:ilvl w:val="0"/>
          <w:numId w:val="5"/>
        </w:numPr>
        <w:spacing w:after="0"/>
        <w:rPr>
          <w:sz w:val="20"/>
          <w:szCs w:val="20"/>
        </w:rPr>
      </w:pPr>
      <w:r>
        <w:rPr>
          <w:sz w:val="20"/>
          <w:szCs w:val="20"/>
        </w:rPr>
        <w:t>Blower Motor is short-circuit protected by current-limiting fuses and thermally protected by overload relay.</w:t>
      </w:r>
    </w:p>
    <w:p w14:paraId="7315B5AA" w14:textId="77777777" w:rsidR="00604CF8" w:rsidRDefault="007F35C8">
      <w:pPr>
        <w:numPr>
          <w:ilvl w:val="0"/>
          <w:numId w:val="5"/>
        </w:numPr>
        <w:spacing w:after="0"/>
        <w:rPr>
          <w:sz w:val="20"/>
          <w:szCs w:val="20"/>
        </w:rPr>
      </w:pPr>
      <w:r>
        <w:rPr>
          <w:sz w:val="20"/>
          <w:szCs w:val="20"/>
        </w:rPr>
        <w:t>A differential air pressure switch provides protection from loss of cooling air or insufficient airflow. The switch automatically removes all load if an airflow problem is detected. Load cannot be reapplied until sufficient airflow is present.</w:t>
      </w:r>
    </w:p>
    <w:p w14:paraId="22E73199" w14:textId="77777777" w:rsidR="00604CF8" w:rsidRDefault="007F35C8">
      <w:pPr>
        <w:numPr>
          <w:ilvl w:val="0"/>
          <w:numId w:val="5"/>
        </w:numPr>
        <w:spacing w:after="0"/>
        <w:rPr>
          <w:sz w:val="20"/>
          <w:szCs w:val="20"/>
        </w:rPr>
      </w:pPr>
      <w:r>
        <w:rPr>
          <w:sz w:val="20"/>
          <w:szCs w:val="20"/>
        </w:rPr>
        <w:t>An over-temperature switch is provided to monitor load bank exhaust temperature.  The switch automatically removes all load if an over-temperature condition is detected. Load cannot be reapplied until the over-temperature condition is corrected.</w:t>
      </w:r>
    </w:p>
    <w:p w14:paraId="1A66715B" w14:textId="77777777" w:rsidR="00604CF8" w:rsidRDefault="007F35C8">
      <w:pPr>
        <w:numPr>
          <w:ilvl w:val="0"/>
          <w:numId w:val="5"/>
        </w:numPr>
        <w:spacing w:after="0"/>
        <w:rPr>
          <w:sz w:val="20"/>
          <w:szCs w:val="20"/>
        </w:rPr>
      </w:pPr>
      <w:r>
        <w:rPr>
          <w:sz w:val="20"/>
          <w:szCs w:val="20"/>
        </w:rPr>
        <w:t>Operator warning and caution statements are located on appropriate access panels.</w:t>
      </w:r>
    </w:p>
    <w:p w14:paraId="6717816E" w14:textId="77777777" w:rsidR="00604CF8" w:rsidRDefault="00604CF8">
      <w:pPr>
        <w:tabs>
          <w:tab w:val="left" w:pos="-1440"/>
        </w:tabs>
        <w:suppressAutoHyphens/>
        <w:spacing w:after="0"/>
        <w:ind w:left="360"/>
        <w:jc w:val="both"/>
        <w:rPr>
          <w:rFonts w:cs="Calibri"/>
          <w:spacing w:val="-2"/>
          <w:sz w:val="20"/>
          <w:szCs w:val="20"/>
        </w:rPr>
      </w:pPr>
    </w:p>
    <w:p w14:paraId="0BCD3CD8" w14:textId="77777777" w:rsidR="00604CF8" w:rsidRDefault="007F35C8">
      <w:pPr>
        <w:tabs>
          <w:tab w:val="left" w:pos="-1440"/>
        </w:tabs>
        <w:suppressAutoHyphens/>
        <w:jc w:val="both"/>
        <w:rPr>
          <w:rFonts w:cs="Calibri"/>
          <w:spacing w:val="-2"/>
          <w:sz w:val="20"/>
          <w:szCs w:val="20"/>
        </w:rPr>
      </w:pPr>
      <w:r>
        <w:rPr>
          <w:rFonts w:cs="Calibri"/>
          <w:b/>
          <w:i/>
          <w:spacing w:val="-2"/>
          <w:sz w:val="20"/>
          <w:szCs w:val="20"/>
        </w:rPr>
        <w:t>LBD-PowerDyne™</w:t>
      </w:r>
      <w:r>
        <w:rPr>
          <w:rFonts w:cs="Calibri"/>
          <w:spacing w:val="-2"/>
          <w:sz w:val="20"/>
          <w:szCs w:val="20"/>
        </w:rPr>
        <w:t xml:space="preserve">  Resistor load elements provide the necessary KW load rating for each load step.  </w:t>
      </w:r>
      <w:r>
        <w:rPr>
          <w:rFonts w:cs="Calibri"/>
          <w:i/>
          <w:spacing w:val="-2"/>
          <w:sz w:val="20"/>
          <w:szCs w:val="20"/>
        </w:rPr>
        <w:t>PowerDyne™</w:t>
      </w:r>
      <w:r>
        <w:rPr>
          <w:rFonts w:cs="Calibri"/>
          <w:spacing w:val="-2"/>
          <w:sz w:val="20"/>
          <w:szCs w:val="20"/>
        </w:rPr>
        <w:t xml:space="preserve"> Resistors are</w:t>
      </w:r>
      <w:r>
        <w:rPr>
          <w:rFonts w:cs="Calibri"/>
          <w:b/>
          <w:i/>
          <w:spacing w:val="-2"/>
          <w:sz w:val="20"/>
          <w:szCs w:val="20"/>
        </w:rPr>
        <w:t xml:space="preserve"> </w:t>
      </w:r>
      <w:r>
        <w:rPr>
          <w:rFonts w:cs="Calibri"/>
          <w:spacing w:val="-2"/>
          <w:sz w:val="20"/>
          <w:szCs w:val="20"/>
        </w:rPr>
        <w:t xml:space="preserve">fully supported across their entire length within the air stream by stainless steel support rods which are insulated with heavy-duty, high-temperature ceramic insulators. Change in resistance is minimized by maintaining conservative resistor designs.    </w:t>
      </w:r>
    </w:p>
    <w:p w14:paraId="5BA3E2D0" w14:textId="77777777" w:rsidR="00604CF8" w:rsidRDefault="007F35C8">
      <w:pPr>
        <w:tabs>
          <w:tab w:val="left" w:pos="-1440"/>
        </w:tabs>
        <w:suppressAutoHyphens/>
        <w:jc w:val="both"/>
        <w:rPr>
          <w:rFonts w:cs="Calibri"/>
          <w:spacing w:val="-2"/>
          <w:sz w:val="20"/>
          <w:szCs w:val="20"/>
        </w:rPr>
      </w:pPr>
      <w:r>
        <w:rPr>
          <w:rFonts w:cs="Calibri"/>
          <w:b/>
          <w:spacing w:val="-2"/>
          <w:sz w:val="20"/>
          <w:szCs w:val="20"/>
          <w:u w:val="single"/>
        </w:rPr>
        <w:lastRenderedPageBreak/>
        <w:t>Load Bank Construction and Power Connections</w:t>
      </w:r>
      <w:r>
        <w:rPr>
          <w:rFonts w:cs="Calibri"/>
          <w:b/>
          <w:spacing w:val="-2"/>
          <w:sz w:val="20"/>
          <w:szCs w:val="20"/>
        </w:rPr>
        <w:t>:</w:t>
      </w:r>
      <w:r>
        <w:rPr>
          <w:rFonts w:cs="Calibri"/>
          <w:spacing w:val="-2"/>
          <w:sz w:val="20"/>
          <w:szCs w:val="20"/>
        </w:rPr>
        <w:t xml:space="preserve">  </w:t>
      </w:r>
    </w:p>
    <w:p w14:paraId="3941362E" w14:textId="77777777" w:rsidR="00604CF8" w:rsidRDefault="007F35C8">
      <w:pPr>
        <w:pStyle w:val="ListParagraph"/>
        <w:numPr>
          <w:ilvl w:val="0"/>
          <w:numId w:val="7"/>
        </w:numPr>
        <w:tabs>
          <w:tab w:val="left" w:pos="-1440"/>
        </w:tabs>
        <w:suppressAutoHyphens/>
        <w:jc w:val="both"/>
        <w:rPr>
          <w:rFonts w:cs="Calibri"/>
          <w:sz w:val="20"/>
          <w:szCs w:val="20"/>
        </w:rPr>
      </w:pPr>
      <w:r>
        <w:rPr>
          <w:rFonts w:cs="Calibri"/>
          <w:spacing w:val="-2"/>
          <w:sz w:val="20"/>
          <w:szCs w:val="20"/>
        </w:rPr>
        <w:t xml:space="preserve">The load bank enclosure is constructed of </w:t>
      </w:r>
      <w:r>
        <w:rPr>
          <w:rFonts w:cs="Calibri"/>
          <w:sz w:val="20"/>
          <w:szCs w:val="20"/>
        </w:rPr>
        <w:t>galvanized steel with powder coat paint finish with exterior stainless steel fasteners.  Bolt on access panels provide a dead-front enclosure, safely enclosing all electrical and mechanical connections.</w:t>
      </w:r>
    </w:p>
    <w:p w14:paraId="15C85CC7" w14:textId="77777777" w:rsidR="00604CF8" w:rsidRDefault="007F35C8">
      <w:pPr>
        <w:pStyle w:val="ListParagraph"/>
        <w:numPr>
          <w:ilvl w:val="0"/>
          <w:numId w:val="7"/>
        </w:numPr>
        <w:tabs>
          <w:tab w:val="left" w:pos="-1440"/>
        </w:tabs>
        <w:suppressAutoHyphens/>
        <w:jc w:val="both"/>
        <w:rPr>
          <w:rFonts w:cs="Calibri"/>
          <w:sz w:val="20"/>
          <w:szCs w:val="20"/>
        </w:rPr>
      </w:pPr>
      <w:r>
        <w:rPr>
          <w:rFonts w:cs="Calibri"/>
          <w:spacing w:val="-2"/>
          <w:sz w:val="20"/>
          <w:szCs w:val="20"/>
        </w:rPr>
        <w:t xml:space="preserve">The load bank is designed for installation and operation in an outdoor environment with sufficient fresh intake air available, while secured to a flat surface such as a roof, finished floor, or concrete pad.  Cooling airflow is drawn in from the screened air-intake sides, with hot air vertically exhausted from the top of the unit away from personnel.  A separate supplied screened,   louvered exhaust hood provides a superior all-weather protected enclosure. </w:t>
      </w:r>
    </w:p>
    <w:p w14:paraId="429BFE82" w14:textId="77777777" w:rsidR="00604CF8" w:rsidRDefault="007F35C8">
      <w:pPr>
        <w:pStyle w:val="ListParagraph"/>
        <w:numPr>
          <w:ilvl w:val="0"/>
          <w:numId w:val="7"/>
        </w:numPr>
        <w:tabs>
          <w:tab w:val="left" w:pos="-1440"/>
        </w:tabs>
        <w:suppressAutoHyphens/>
        <w:jc w:val="both"/>
        <w:rPr>
          <w:rFonts w:cs="Calibri"/>
          <w:sz w:val="20"/>
          <w:szCs w:val="20"/>
        </w:rPr>
      </w:pPr>
      <w:r>
        <w:rPr>
          <w:rFonts w:cs="Calibri"/>
          <w:spacing w:val="-2"/>
          <w:sz w:val="20"/>
          <w:szCs w:val="20"/>
        </w:rPr>
        <w:t xml:space="preserve">Fork-lift channels are provided in the base for ease of lifting and handling during installation.  </w:t>
      </w:r>
    </w:p>
    <w:p w14:paraId="757F8E40" w14:textId="77777777" w:rsidR="00604CF8" w:rsidRDefault="007F35C8">
      <w:pPr>
        <w:pStyle w:val="ListParagraph"/>
        <w:numPr>
          <w:ilvl w:val="0"/>
          <w:numId w:val="7"/>
        </w:numPr>
        <w:tabs>
          <w:tab w:val="left" w:pos="-1440"/>
        </w:tabs>
        <w:suppressAutoHyphens/>
        <w:jc w:val="both"/>
        <w:rPr>
          <w:rFonts w:cs="Calibri"/>
          <w:sz w:val="20"/>
          <w:szCs w:val="20"/>
        </w:rPr>
      </w:pPr>
      <w:r>
        <w:rPr>
          <w:rFonts w:cs="Calibri"/>
          <w:spacing w:val="-2"/>
          <w:sz w:val="20"/>
          <w:szCs w:val="20"/>
        </w:rPr>
        <w:t xml:space="preserve">All power connections including main-input load bus, external blower power, external control power, operator remote control, instrumentation, and customer interface connections are made within the enclosed relay/connection compartment.  Bottom access with a removable gland plate provides “safe and sealed” ease of installation of all conduit entry cable.  </w:t>
      </w:r>
    </w:p>
    <w:p w14:paraId="398122F7" w14:textId="77777777" w:rsidR="00604CF8" w:rsidRDefault="007F35C8">
      <w:pPr>
        <w:pStyle w:val="ListParagraph"/>
        <w:numPr>
          <w:ilvl w:val="0"/>
          <w:numId w:val="7"/>
        </w:numPr>
        <w:tabs>
          <w:tab w:val="left" w:pos="-1440"/>
        </w:tabs>
        <w:suppressAutoHyphens/>
        <w:jc w:val="both"/>
        <w:rPr>
          <w:rFonts w:cs="Calibri"/>
          <w:sz w:val="20"/>
          <w:szCs w:val="20"/>
        </w:rPr>
      </w:pPr>
      <w:r>
        <w:rPr>
          <w:rFonts w:cs="Calibri"/>
          <w:spacing w:val="-2"/>
          <w:sz w:val="20"/>
          <w:szCs w:val="20"/>
        </w:rPr>
        <w:t>Load connections are made directly to the main input load bus bars or power distribution block.  A standard Nema 4-hole pattern is provided for customer load cable connections. All copper bus bar load connections are plated for superior oxidation resistance.</w:t>
      </w:r>
    </w:p>
    <w:p w14:paraId="2A271EFF" w14:textId="77777777" w:rsidR="00604CF8" w:rsidRDefault="007F35C8">
      <w:pPr>
        <w:pStyle w:val="ListParagraph"/>
        <w:numPr>
          <w:ilvl w:val="0"/>
          <w:numId w:val="7"/>
        </w:numPr>
        <w:tabs>
          <w:tab w:val="left" w:pos="-1440"/>
        </w:tabs>
        <w:suppressAutoHyphens/>
        <w:jc w:val="both"/>
        <w:rPr>
          <w:rFonts w:cs="Calibri"/>
          <w:sz w:val="20"/>
          <w:szCs w:val="20"/>
        </w:rPr>
      </w:pPr>
      <w:r>
        <w:rPr>
          <w:rFonts w:cs="Calibri"/>
          <w:spacing w:val="-2"/>
          <w:sz w:val="20"/>
          <w:szCs w:val="20"/>
        </w:rPr>
        <w:t xml:space="preserve">Relay/connection compartment is heated and thermostatically controlled to limit any harmful effects of condensation.  </w:t>
      </w:r>
    </w:p>
    <w:p w14:paraId="39DCD821" w14:textId="77777777" w:rsidR="00604CF8" w:rsidRDefault="007F35C8">
      <w:pPr>
        <w:tabs>
          <w:tab w:val="left" w:pos="-810"/>
        </w:tabs>
        <w:suppressAutoHyphens/>
        <w:jc w:val="both"/>
        <w:rPr>
          <w:rFonts w:cs="Calibri"/>
          <w:spacing w:val="-2"/>
          <w:sz w:val="20"/>
          <w:szCs w:val="20"/>
        </w:rPr>
      </w:pPr>
      <w:r>
        <w:rPr>
          <w:rFonts w:cs="Calibri"/>
          <w:b/>
          <w:spacing w:val="-2"/>
          <w:sz w:val="20"/>
          <w:szCs w:val="20"/>
        </w:rPr>
        <w:t>Approximate Dimensions:</w:t>
      </w:r>
      <w:r>
        <w:rPr>
          <w:rFonts w:cs="Calibri"/>
          <w:spacing w:val="-2"/>
          <w:sz w:val="20"/>
          <w:szCs w:val="20"/>
        </w:rPr>
        <w:t xml:space="preserve">  </w:t>
      </w:r>
      <w:r>
        <w:rPr>
          <w:spacing w:val="-2"/>
          <w:sz w:val="20"/>
          <w:szCs w:val="20"/>
        </w:rPr>
        <w:t>40"W x 52"D x 69"H [1020 x 1310 x 1750 mm]</w:t>
      </w:r>
    </w:p>
    <w:p w14:paraId="685C4C5E" w14:textId="77777777" w:rsidR="00604CF8" w:rsidRDefault="007F35C8">
      <w:pPr>
        <w:tabs>
          <w:tab w:val="left" w:pos="-810"/>
        </w:tabs>
        <w:suppressAutoHyphens/>
        <w:jc w:val="both"/>
        <w:rPr>
          <w:rFonts w:cs="Calibri"/>
          <w:spacing w:val="-2"/>
          <w:sz w:val="20"/>
          <w:szCs w:val="20"/>
        </w:rPr>
      </w:pPr>
      <w:r>
        <w:rPr>
          <w:rFonts w:cs="Calibri"/>
          <w:b/>
          <w:spacing w:val="-2"/>
          <w:sz w:val="20"/>
          <w:szCs w:val="20"/>
        </w:rPr>
        <w:t>Approximate Weight:</w:t>
      </w:r>
      <w:r>
        <w:rPr>
          <w:rFonts w:cs="Calibri"/>
          <w:spacing w:val="-2"/>
          <w:sz w:val="20"/>
          <w:szCs w:val="20"/>
        </w:rPr>
        <w:t xml:space="preserve">  </w:t>
      </w:r>
      <w:r>
        <w:rPr>
          <w:spacing w:val="-2"/>
          <w:sz w:val="20"/>
          <w:szCs w:val="20"/>
        </w:rPr>
        <w:t>1200 lbs [545 kg]</w:t>
      </w:r>
    </w:p>
    <w:sectPr w:rsidR="00604CF8">
      <w:footerReference w:type="defaul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B2A99" w14:textId="77777777" w:rsidR="00D26860" w:rsidRDefault="00D26860">
      <w:pPr>
        <w:spacing w:after="0"/>
      </w:pPr>
      <w:r>
        <w:separator/>
      </w:r>
    </w:p>
  </w:endnote>
  <w:endnote w:type="continuationSeparator" w:id="0">
    <w:p w14:paraId="24AB4700" w14:textId="77777777" w:rsidR="00D26860" w:rsidRDefault="00D268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9FF2F" w14:textId="77777777" w:rsidR="00604CF8" w:rsidRDefault="007F35C8">
    <w:pPr>
      <w:pStyle w:val="Footer"/>
      <w:tabs>
        <w:tab w:val="clear" w:pos="4680"/>
        <w:tab w:val="clear" w:pos="9360"/>
        <w:tab w:val="right" w:pos="10800"/>
      </w:tabs>
      <w:rPr>
        <w:sz w:val="18"/>
        <w:szCs w:val="18"/>
      </w:rPr>
    </w:pPr>
    <w:r>
      <w:rPr>
        <w:i/>
        <w:sz w:val="18"/>
        <w:szCs w:val="18"/>
      </w:rPr>
      <w:t>Proprietary and Confidential for Client Use Only -</w:t>
    </w:r>
    <w:r>
      <w:rPr>
        <w:b/>
        <w:i/>
        <w:sz w:val="18"/>
        <w:szCs w:val="18"/>
      </w:rPr>
      <w:t xml:space="preserve"> Do Not Distribute</w:t>
    </w:r>
    <w:r>
      <w:rPr>
        <w:sz w:val="18"/>
        <w:szCs w:val="18"/>
      </w:rPr>
      <w:tab/>
      <w:t xml:space="preserve">Page </w:t>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2</w:t>
    </w:r>
    <w:r>
      <w:rPr>
        <w:sz w:val="18"/>
        <w:szCs w:val="18"/>
      </w:rPr>
      <w:fldChar w:fldCharType="end"/>
    </w:r>
    <w:r>
      <w:rPr>
        <w:sz w:val="18"/>
        <w:szCs w:val="18"/>
      </w:rPr>
      <w:t xml:space="preserve"> of </w:t>
    </w:r>
    <w:r w:rsidR="00D26860">
      <w:fldChar w:fldCharType="begin"/>
    </w:r>
    <w:r w:rsidR="00D26860">
      <w:instrText xml:space="preserve"> NUMPAGES   \* MERGEFORMAT </w:instrText>
    </w:r>
    <w:r w:rsidR="00D26860">
      <w:fldChar w:fldCharType="separate"/>
    </w:r>
    <w:r>
      <w:rPr>
        <w:noProof/>
        <w:sz w:val="18"/>
        <w:szCs w:val="18"/>
      </w:rPr>
      <w:t>2</w:t>
    </w:r>
    <w:r w:rsidR="00D26860">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625B8" w14:textId="77777777" w:rsidR="00604CF8" w:rsidRDefault="007F35C8">
    <w:pPr>
      <w:pBdr>
        <w:top w:val="single" w:sz="4" w:space="1" w:color="auto"/>
      </w:pBdr>
      <w:spacing w:after="60"/>
      <w:jc w:val="center"/>
      <w:rPr>
        <w:rFonts w:cs="Calibri"/>
        <w:b/>
        <w:spacing w:val="36"/>
      </w:rPr>
    </w:pPr>
    <w:r>
      <w:rPr>
        <w:rFonts w:cs="Calibri"/>
        <w:b/>
        <w:color w:val="222222"/>
        <w:spacing w:val="36"/>
      </w:rPr>
      <w:t xml:space="preserve">Toll Free 855.LBD.CALL (523.2255)  •  </w:t>
    </w:r>
    <w:hyperlink r:id="rId1" w:history="1">
      <w:r>
        <w:rPr>
          <w:rStyle w:val="Hyperlink"/>
          <w:rFonts w:cs="Calibri"/>
          <w:b/>
          <w:spacing w:val="36"/>
        </w:rPr>
        <w:t>www.LoadBanksDirect.com</w:t>
      </w:r>
    </w:hyperlink>
    <w:r>
      <w:rPr>
        <w:rFonts w:cs="Calibri"/>
        <w:b/>
        <w:color w:val="222222"/>
        <w:spacing w:val="36"/>
      </w:rPr>
      <w:t xml:space="preserve">  •  Fax 859.554.2530</w:t>
    </w:r>
  </w:p>
  <w:p w14:paraId="26E1D5D1" w14:textId="77777777" w:rsidR="00604CF8" w:rsidRDefault="007F35C8">
    <w:pPr>
      <w:pStyle w:val="Footer"/>
      <w:tabs>
        <w:tab w:val="clear" w:pos="4680"/>
        <w:tab w:val="clear" w:pos="9360"/>
        <w:tab w:val="right" w:pos="10800"/>
      </w:tabs>
      <w:rPr>
        <w:sz w:val="20"/>
      </w:rPr>
    </w:pPr>
    <w:r>
      <w:rPr>
        <w:i/>
        <w:sz w:val="20"/>
      </w:rPr>
      <w:t>Proprietary and Confidential for Client Use – Do Not Distribute</w:t>
    </w:r>
    <w:r>
      <w:rPr>
        <w:sz w:val="20"/>
      </w:rPr>
      <w:tab/>
      <w:t xml:space="preserve">Page </w:t>
    </w:r>
    <w:r>
      <w:rPr>
        <w:sz w:val="20"/>
      </w:rPr>
      <w:fldChar w:fldCharType="begin"/>
    </w:r>
    <w:r>
      <w:rPr>
        <w:sz w:val="20"/>
      </w:rPr>
      <w:instrText xml:space="preserve"> PAGE   \* MERGEFORMAT </w:instrText>
    </w:r>
    <w:r>
      <w:rPr>
        <w:sz w:val="20"/>
      </w:rPr>
      <w:fldChar w:fldCharType="separate"/>
    </w:r>
    <w:r>
      <w:rPr>
        <w:noProof/>
        <w:sz w:val="20"/>
      </w:rPr>
      <w:t>1</w:t>
    </w:r>
    <w:r>
      <w:rPr>
        <w:sz w:val="20"/>
      </w:rPr>
      <w:fldChar w:fldCharType="end"/>
    </w:r>
    <w:r>
      <w:rPr>
        <w:sz w:val="20"/>
      </w:rPr>
      <w:t xml:space="preserve"> of </w:t>
    </w:r>
    <w:r w:rsidR="00D26860">
      <w:fldChar w:fldCharType="begin"/>
    </w:r>
    <w:r w:rsidR="00D26860">
      <w:instrText xml:space="preserve"> NUMPAGES   \* MERGEFORMAT </w:instrText>
    </w:r>
    <w:r w:rsidR="00D26860">
      <w:fldChar w:fldCharType="separate"/>
    </w:r>
    <w:r>
      <w:rPr>
        <w:noProof/>
        <w:sz w:val="20"/>
      </w:rPr>
      <w:t>2</w:t>
    </w:r>
    <w:r w:rsidR="00D26860">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2AB53" w14:textId="77777777" w:rsidR="00D26860" w:rsidRDefault="00D26860">
      <w:pPr>
        <w:spacing w:after="0"/>
      </w:pPr>
      <w:r>
        <w:separator/>
      </w:r>
    </w:p>
  </w:footnote>
  <w:footnote w:type="continuationSeparator" w:id="0">
    <w:p w14:paraId="33C8D06A" w14:textId="77777777" w:rsidR="00D26860" w:rsidRDefault="00D268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5977B"/>
    <w:multiLevelType w:val="multilevel"/>
    <w:tmpl w:val="523E84CE"/>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567FF18"/>
    <w:multiLevelType w:val="multilevel"/>
    <w:tmpl w:val="CF98B546"/>
    <w:lvl w:ilvl="0">
      <w:start w:val="1"/>
      <w:numFmt w:val="bullet"/>
      <w:lvlText w:val=""/>
      <w:lvlJc w:val="left"/>
      <w:pPr>
        <w:tabs>
          <w:tab w:val="num" w:pos="720"/>
        </w:tabs>
        <w:ind w:left="720" w:hanging="360"/>
      </w:pPr>
      <w:rPr>
        <w:rFonts w:ascii="Symbol" w:eastAsia="Symbol" w:hAnsi="Symbol" w:cs="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2" w15:restartNumberingAfterBreak="0">
    <w:nsid w:val="070BDECC"/>
    <w:multiLevelType w:val="multilevel"/>
    <w:tmpl w:val="B44ECBD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29A432F0"/>
    <w:multiLevelType w:val="multilevel"/>
    <w:tmpl w:val="F8AA1BF4"/>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4" w15:restartNumberingAfterBreak="0">
    <w:nsid w:val="31BA1485"/>
    <w:multiLevelType w:val="multilevel"/>
    <w:tmpl w:val="0F269F38"/>
    <w:lvl w:ilvl="0">
      <w:start w:val="1"/>
      <w:numFmt w:val="bullet"/>
      <w:lvlText w:val=""/>
      <w:lvlJc w:val="left"/>
      <w:pPr>
        <w:tabs>
          <w:tab w:val="num" w:pos="720"/>
        </w:tabs>
        <w:ind w:left="720" w:hanging="360"/>
      </w:pPr>
      <w:rPr>
        <w:rFonts w:ascii="Wingdings" w:eastAsia="Wingdings" w:hAnsi="Wingdings" w:cs="Wingdings"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5" w15:restartNumberingAfterBreak="0">
    <w:nsid w:val="3814BC18"/>
    <w:multiLevelType w:val="multilevel"/>
    <w:tmpl w:val="686EB21C"/>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49CE06F6"/>
    <w:multiLevelType w:val="multilevel"/>
    <w:tmpl w:val="4A7AC256"/>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640941BD"/>
    <w:multiLevelType w:val="multilevel"/>
    <w:tmpl w:val="A440CB64"/>
    <w:lvl w:ilvl="0">
      <w:start w:val="1"/>
      <w:numFmt w:val="bullet"/>
      <w:lvlText w:val=""/>
      <w:lvlJc w:val="left"/>
      <w:pPr>
        <w:ind w:left="1080" w:hanging="360"/>
      </w:pPr>
      <w:rPr>
        <w:rFonts w:ascii="Symbol" w:eastAsia="Symbol" w:hAnsi="Symbol" w:cs="Symbol" w:hint="default"/>
      </w:rPr>
    </w:lvl>
    <w:lvl w:ilvl="1">
      <w:start w:val="1"/>
      <w:numFmt w:val="bullet"/>
      <w:lvlText w:val="o"/>
      <w:lvlJc w:val="left"/>
      <w:pPr>
        <w:ind w:left="1800" w:hanging="360"/>
      </w:pPr>
      <w:rPr>
        <w:rFonts w:ascii="Courier New" w:eastAsia="Courier New" w:hAnsi="Courier New" w:cs="Courier New" w:hint="default"/>
      </w:rPr>
    </w:lvl>
    <w:lvl w:ilvl="2">
      <w:start w:val="1"/>
      <w:numFmt w:val="bullet"/>
      <w:lvlText w:val=""/>
      <w:lvlJc w:val="left"/>
      <w:pPr>
        <w:ind w:left="2520" w:hanging="360"/>
      </w:pPr>
      <w:rPr>
        <w:rFonts w:ascii="Wingdings" w:eastAsia="Wingdings" w:hAnsi="Wingdings" w:cs="Wingdings" w:hint="default"/>
      </w:rPr>
    </w:lvl>
    <w:lvl w:ilvl="3">
      <w:start w:val="1"/>
      <w:numFmt w:val="bullet"/>
      <w:lvlText w:val=""/>
      <w:lvlJc w:val="left"/>
      <w:pPr>
        <w:ind w:left="3240" w:hanging="360"/>
      </w:pPr>
      <w:rPr>
        <w:rFonts w:ascii="Symbol" w:eastAsia="Symbol" w:hAnsi="Symbol" w:cs="Symbol" w:hint="default"/>
      </w:rPr>
    </w:lvl>
    <w:lvl w:ilvl="4">
      <w:start w:val="1"/>
      <w:numFmt w:val="bullet"/>
      <w:lvlText w:val="o"/>
      <w:lvlJc w:val="left"/>
      <w:pPr>
        <w:ind w:left="3960" w:hanging="360"/>
      </w:pPr>
      <w:rPr>
        <w:rFonts w:ascii="Courier New" w:eastAsia="Courier New" w:hAnsi="Courier New" w:cs="Courier New" w:hint="default"/>
      </w:rPr>
    </w:lvl>
    <w:lvl w:ilvl="5">
      <w:start w:val="1"/>
      <w:numFmt w:val="bullet"/>
      <w:lvlText w:val=""/>
      <w:lvlJc w:val="left"/>
      <w:pPr>
        <w:ind w:left="4680" w:hanging="360"/>
      </w:pPr>
      <w:rPr>
        <w:rFonts w:ascii="Wingdings" w:eastAsia="Wingdings" w:hAnsi="Wingdings" w:cs="Wingdings" w:hint="default"/>
      </w:rPr>
    </w:lvl>
    <w:lvl w:ilvl="6">
      <w:start w:val="1"/>
      <w:numFmt w:val="bullet"/>
      <w:lvlText w:val=""/>
      <w:lvlJc w:val="left"/>
      <w:pPr>
        <w:ind w:left="5400" w:hanging="360"/>
      </w:pPr>
      <w:rPr>
        <w:rFonts w:ascii="Symbol" w:eastAsia="Symbol" w:hAnsi="Symbol" w:cs="Symbol" w:hint="default"/>
      </w:rPr>
    </w:lvl>
    <w:lvl w:ilvl="7">
      <w:start w:val="1"/>
      <w:numFmt w:val="bullet"/>
      <w:lvlText w:val="o"/>
      <w:lvlJc w:val="left"/>
      <w:pPr>
        <w:ind w:left="6120" w:hanging="360"/>
      </w:pPr>
      <w:rPr>
        <w:rFonts w:ascii="Courier New" w:eastAsia="Courier New" w:hAnsi="Courier New" w:cs="Courier New" w:hint="default"/>
      </w:rPr>
    </w:lvl>
    <w:lvl w:ilvl="8">
      <w:start w:val="1"/>
      <w:numFmt w:val="bullet"/>
      <w:lvlText w:val=""/>
      <w:lvlJc w:val="left"/>
      <w:pPr>
        <w:ind w:left="6840" w:hanging="360"/>
      </w:pPr>
      <w:rPr>
        <w:rFonts w:ascii="Wingdings" w:eastAsia="Wingdings" w:hAnsi="Wingdings" w:cs="Wingdings" w:hint="default"/>
      </w:rPr>
    </w:lvl>
  </w:abstractNum>
  <w:abstractNum w:abstractNumId="8" w15:restartNumberingAfterBreak="0">
    <w:nsid w:val="687D3077"/>
    <w:multiLevelType w:val="multilevel"/>
    <w:tmpl w:val="4740BF4E"/>
    <w:lvl w:ilvl="0">
      <w:start w:val="1"/>
      <w:numFmt w:val="bullet"/>
      <w:lvlText w:val=""/>
      <w:lvlJc w:val="left"/>
      <w:pPr>
        <w:ind w:left="720" w:hanging="360"/>
      </w:pPr>
      <w:rPr>
        <w:rFonts w:ascii="Wingdings" w:eastAsia="Wingdings" w:hAnsi="Wingdings" w:cs="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6B28D9A0"/>
    <w:multiLevelType w:val="multilevel"/>
    <w:tmpl w:val="D7A6AEE4"/>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6E0A80C8"/>
    <w:multiLevelType w:val="multilevel"/>
    <w:tmpl w:val="D41E33B0"/>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7ACC1642"/>
    <w:multiLevelType w:val="multilevel"/>
    <w:tmpl w:val="D218634A"/>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3"/>
  </w:num>
  <w:num w:numId="2">
    <w:abstractNumId w:val="2"/>
  </w:num>
  <w:num w:numId="3">
    <w:abstractNumId w:val="4"/>
  </w:num>
  <w:num w:numId="4">
    <w:abstractNumId w:val="9"/>
  </w:num>
  <w:num w:numId="5">
    <w:abstractNumId w:val="11"/>
  </w:num>
  <w:num w:numId="6">
    <w:abstractNumId w:val="5"/>
  </w:num>
  <w:num w:numId="7">
    <w:abstractNumId w:val="0"/>
  </w:num>
  <w:num w:numId="8">
    <w:abstractNumId w:val="6"/>
  </w:num>
  <w:num w:numId="9">
    <w:abstractNumId w:val="1"/>
  </w:num>
  <w:num w:numId="10">
    <w:abstractNumId w:val="10"/>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CF8"/>
    <w:rsid w:val="00082A05"/>
    <w:rsid w:val="001523DB"/>
    <w:rsid w:val="00604CF8"/>
    <w:rsid w:val="007F35C8"/>
    <w:rsid w:val="00813F5D"/>
    <w:rsid w:val="00890FC6"/>
    <w:rsid w:val="008D58C1"/>
    <w:rsid w:val="00AB61CF"/>
    <w:rsid w:val="00D26860"/>
    <w:rsid w:val="00DA7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35DD2"/>
  <w15:docId w15:val="{EDABDB6D-3E78-4D3A-B04F-A66DFD647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character" w:customStyle="1" w:styleId="NoList1">
    <w:name w:val="No List1"/>
    <w:semiHidden/>
    <w:unhideWhenUsed/>
  </w:style>
  <w:style w:type="paragraph" w:styleId="BalloonText">
    <w:name w:val="Balloon Text"/>
    <w:basedOn w:val="Normal"/>
    <w:link w:val="BalloonTextChar"/>
    <w:semiHidden/>
    <w:unhideWhenUsed/>
    <w:pPr>
      <w:spacing w:after="0"/>
    </w:pPr>
    <w:rPr>
      <w:rFonts w:ascii="Tahoma" w:eastAsia="Tahoma" w:hAnsi="Tahoma" w:cs="Tahoma"/>
      <w:sz w:val="16"/>
      <w:szCs w:val="16"/>
    </w:rPr>
  </w:style>
  <w:style w:type="character" w:customStyle="1" w:styleId="BalloonTextChar">
    <w:name w:val="Balloon Text Char"/>
    <w:basedOn w:val="DefaultParagraphFont"/>
    <w:link w:val="BalloonText"/>
    <w:semiHidden/>
    <w:rPr>
      <w:rFonts w:ascii="Tahoma" w:eastAsia="Tahoma" w:hAnsi="Tahoma" w:cs="Tahoma"/>
      <w:sz w:val="16"/>
      <w:szCs w:val="16"/>
    </w:rPr>
  </w:style>
  <w:style w:type="character" w:styleId="Hyperlink">
    <w:name w:val="Hyperlink"/>
    <w:basedOn w:val="DefaultParagraphFont"/>
    <w:unhideWhenUsed/>
    <w:rPr>
      <w:color w:val="0000FF"/>
      <w:u w:val="single"/>
    </w:rPr>
  </w:style>
  <w:style w:type="character" w:styleId="FollowedHyperlink">
    <w:name w:val="FollowedHyperlink"/>
    <w:basedOn w:val="DefaultParagraphFont"/>
    <w:semiHidden/>
    <w:unhideWhenUsed/>
    <w:rPr>
      <w:color w:val="800080"/>
      <w:u w:val="single"/>
    </w:rPr>
  </w:style>
  <w:style w:type="paragraph" w:styleId="ListParagraph">
    <w:name w:val="List Paragraph"/>
    <w:basedOn w:val="Normal"/>
    <w:qFormat/>
    <w:pPr>
      <w:ind w:left="720"/>
      <w:contextualSpacing/>
    </w:pPr>
  </w:style>
  <w:style w:type="paragraph" w:styleId="Header">
    <w:name w:val="header"/>
    <w:basedOn w:val="Normal"/>
    <w:link w:val="HeaderChar"/>
    <w:unhideWhenUsed/>
    <w:pPr>
      <w:tabs>
        <w:tab w:val="center" w:pos="4680"/>
        <w:tab w:val="right" w:pos="9360"/>
      </w:tabs>
      <w:spacing w:after="0"/>
    </w:pPr>
  </w:style>
  <w:style w:type="character" w:customStyle="1" w:styleId="HeaderChar">
    <w:name w:val="Header Char"/>
    <w:basedOn w:val="DefaultParagraphFont"/>
    <w:link w:val="Header"/>
  </w:style>
  <w:style w:type="paragraph" w:styleId="Footer">
    <w:name w:val="footer"/>
    <w:basedOn w:val="Normal"/>
    <w:next w:val="Normal"/>
    <w:link w:val="FooterChar"/>
    <w:unhideWhenUsed/>
    <w:pPr>
      <w:tabs>
        <w:tab w:val="center" w:pos="4680"/>
        <w:tab w:val="right" w:pos="9360"/>
      </w:tabs>
      <w:spacing w:after="0"/>
    </w:pPr>
  </w:style>
  <w:style w:type="character" w:customStyle="1" w:styleId="FooterChar">
    <w:name w:val="Footer Char"/>
    <w:basedOn w:val="DefaultParagraphFont"/>
    <w:link w:val="Footer"/>
  </w:style>
  <w:style w:type="paragraph" w:customStyle="1" w:styleId="NoSpacing1">
    <w:name w:val="No Spacing1"/>
    <w:qFormat/>
    <w:rPr>
      <w:sz w:val="22"/>
      <w:szCs w:val="22"/>
    </w:rPr>
  </w:style>
  <w:style w:type="character" w:styleId="UnresolvedMention">
    <w:name w:val="Unresolved Mention"/>
    <w:basedOn w:val="DefaultParagraphFont"/>
    <w:uiPriority w:val="99"/>
    <w:semiHidden/>
    <w:unhideWhenUsed/>
    <w:rsid w:val="00AB61CF"/>
    <w:rPr>
      <w:color w:val="605E5C"/>
      <w:shd w:val="clear" w:color="auto" w:fill="E1DFDD"/>
    </w:rPr>
  </w:style>
  <w:style w:type="paragraph" w:styleId="NoSpacing">
    <w:name w:val="No Spacing"/>
    <w:qFormat/>
    <w:rsid w:val="00AB61C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oadBanksDirect.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loadbanksdirect.com/"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D50F6-E09F-4091-A770-45C8C83C9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Bertram</dc:creator>
  <cp:keywords/>
  <cp:lastModifiedBy>LoadBank Sales</cp:lastModifiedBy>
  <cp:revision>3</cp:revision>
  <cp:lastPrinted>2012-12-03T19:28:00Z</cp:lastPrinted>
  <dcterms:created xsi:type="dcterms:W3CDTF">2019-08-05T16:00:00Z</dcterms:created>
  <dcterms:modified xsi:type="dcterms:W3CDTF">2019-08-05T16:02:00Z</dcterms:modified>
</cp:coreProperties>
</file>